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292735</wp:posOffset>
            </wp:positionH>
            <wp:positionV relativeFrom="paragraph">
              <wp:posOffset>635</wp:posOffset>
            </wp:positionV>
            <wp:extent cx="2905125" cy="19551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5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rtl w:val="0"/>
        </w:rPr>
        <w:t xml:space="preserve">Лекарственное обеспечение граждан,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rtl w:val="0"/>
        </w:rPr>
        <w:t xml:space="preserve">перенесших острые сердечно-сосудистые заболевания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 на лекарственное обеспечение имеют граждане при соблюдении следующих условий: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пациенты, которые выписаны из стационара по поводу перенесенного нижеперечисленного острого сердечно-сосудистого состояния (операции):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острое нарушение мозгового кровообращения;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инфаркт миокарда;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аортокоронарное шунтирование;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ангиопластика коронарных артерий со стентированием;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катетерная абляция по поводу сердечно-сосудистых заболеваний.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пациенты, стоящие на диспансерном наблюдении в территориальной поликлинике и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включенные в региональный регистр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пациентов с сердечно-сосудистыми заболеваниями и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сердечно-сосудистыми осложнениями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граждане, которые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не являются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получателями социальной услуги в виде обеспечения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лекарственными препаратами для медицинского применения в соответствии с Федеральным законом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 государственной социальной помощи» (как в виде лекарственного обеспечения, так и в виде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ежемесячной денежной компенсации).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6" w:sz="4" w:val="single"/>
        </w:pBdr>
        <w:tabs>
          <w:tab w:val="center" w:pos="5173"/>
        </w:tabs>
        <w:spacing w:after="0" w:line="24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Лекарственное обеспечение</w:t>
        <w:tab/>
        <w:t xml:space="preserve"> указанных граждан осуществляется в амбулаторных условиях. Общий период лекарственного обеспечения составляет 24 месяца после перенесенного острого состояния (операции).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Лекарственное обеспечение осуществляется в рамках перечня лекарственных препаратов, утвержденного приказом Минздрава России от 09.01.2020 № 1н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«Об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заболеваний»*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Порядок действий.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После выписки из стационара с назначенными схемами лечения пациент обращается к лечащему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врачу в территориальную поликлинику по месту жительства.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Лечащий врач территориальной поликлиники определяет план наблюдения и лечения, а также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оформляет назначение лекарственного препарата в информационной системе ГБ-Льгота облачный сервер.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Пациент с рецептом либо со СНИЛС (в случае выписки электронного рецепта) на лекарственный препарат обращается в аптечную организацию, информацию о которой предоставит лечащий врач.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Для последующего назначения лекарственного препарата пациенту необходимо регулярно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проходить лабораторные и инструментальные исследования в соответствии с составленным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лечащим врачом планом наблюдения.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Министерство здравоохранения Алтайского края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255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Перечень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</w:t>
      </w:r>
    </w:p>
    <w:tbl>
      <w:tblPr>
        <w:tblStyle w:val="Table1"/>
        <w:tblW w:w="10621.0" w:type="dxa"/>
        <w:jc w:val="left"/>
        <w:tblInd w:w="0.0" w:type="dxa"/>
        <w:tblLayout w:type="fixed"/>
        <w:tblLook w:val="0400"/>
      </w:tblPr>
      <w:tblGrid>
        <w:gridCol w:w="562"/>
        <w:gridCol w:w="2132"/>
        <w:gridCol w:w="6016"/>
        <w:gridCol w:w="1911"/>
        <w:tblGridChange w:id="0">
          <w:tblGrid>
            <w:gridCol w:w="562"/>
            <w:gridCol w:w="2132"/>
            <w:gridCol w:w="6016"/>
            <w:gridCol w:w="1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Международное непатентованное 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Лекарственная форма лекарственного препарата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Дозировка лекарственного препарата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Амиодарон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Амлодипин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мг, 10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Апиксабан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2,5 мг, 5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Аторвастатин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капсулы; таблетки, покрытые оболочкой; 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мг, 40 мг, 80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Ацетилсалициловая кислота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 мг, 100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Бисопролол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таблетки; 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мг, 10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Варфарин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2,5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Гидрохлоротиазид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Дабигатрана этексилат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капсулы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 мг, 150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Изосорбида мононитрат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мг, 50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Индапамид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капсулы; таблетки, покрытые оболочкой; таблетки, покрытые пленочной оболочкой;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2,5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Клопидогрел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Лаппаконитина гидробромид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Лозартан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оболочкой; 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 мг, 100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Метопролол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 мг, 100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Моксонидин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 мг, 0,4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Периндоприл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таблетки; таблетки, диспергируемые в полости рта; 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мг, 5 мг, 8 мг, 10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Пропафенон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Ривароксабан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2,5 г, 15 мг, 20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Симвастатин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оболочкой; 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Соталол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 мг, 160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Тикагрелор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таблетки, покрытые пленочной оболочкой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 мг, 90 мг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Эналаприл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мг, 10 мг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